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3F" w:rsidRDefault="003965A0">
      <w:r>
        <w:rPr>
          <w:rFonts w:hint="eastAsia"/>
        </w:rPr>
        <w:t>沖縄工業高等専門学校　２０２５年度後期開講</w:t>
      </w:r>
    </w:p>
    <w:p w:rsidR="003965A0" w:rsidRDefault="003965A0">
      <w:pPr>
        <w:rPr>
          <w:b/>
          <w:sz w:val="24"/>
          <w:szCs w:val="24"/>
        </w:rPr>
      </w:pPr>
      <w:r w:rsidRPr="003965A0">
        <w:rPr>
          <w:rFonts w:hint="eastAsia"/>
          <w:b/>
          <w:sz w:val="24"/>
          <w:szCs w:val="24"/>
        </w:rPr>
        <w:t>「技術者倫理」の授業計画</w:t>
      </w:r>
    </w:p>
    <w:p w:rsidR="003965A0" w:rsidRPr="003965A0" w:rsidRDefault="00C75F30">
      <w:pPr>
        <w:rPr>
          <w:szCs w:val="21"/>
        </w:rPr>
      </w:pPr>
      <w:r>
        <w:rPr>
          <w:rFonts w:hint="eastAsia"/>
          <w:b/>
          <w:sz w:val="24"/>
          <w:szCs w:val="24"/>
        </w:rPr>
        <w:t xml:space="preserve">　　　　　　　　　　　　　　　</w:t>
      </w:r>
      <w:r w:rsidR="003965A0" w:rsidRPr="003965A0">
        <w:rPr>
          <w:rFonts w:hint="eastAsia"/>
          <w:szCs w:val="21"/>
        </w:rPr>
        <w:t>毎週</w:t>
      </w:r>
      <w:r w:rsidR="003965A0">
        <w:rPr>
          <w:rFonts w:hint="eastAsia"/>
          <w:szCs w:val="21"/>
        </w:rPr>
        <w:t>火曜日の１限目（８：５０～１０：２０）</w:t>
      </w:r>
      <w:r>
        <w:rPr>
          <w:rFonts w:hint="eastAsia"/>
          <w:szCs w:val="21"/>
        </w:rPr>
        <w:t xml:space="preserve">　視聴覚ホール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4412"/>
        <w:gridCol w:w="4334"/>
      </w:tblGrid>
      <w:tr w:rsidR="003965A0" w:rsidTr="003965A0">
        <w:trPr>
          <w:trHeight w:val="411"/>
        </w:trPr>
        <w:tc>
          <w:tcPr>
            <w:tcW w:w="1083" w:type="dxa"/>
          </w:tcPr>
          <w:p w:rsidR="003965A0" w:rsidRDefault="003965A0" w:rsidP="003965A0">
            <w:pPr>
              <w:jc w:val="center"/>
            </w:pPr>
            <w:r>
              <w:rPr>
                <w:rFonts w:hint="eastAsia"/>
              </w:rPr>
              <w:t>講義日</w:t>
            </w:r>
          </w:p>
        </w:tc>
        <w:tc>
          <w:tcPr>
            <w:tcW w:w="4412" w:type="dxa"/>
          </w:tcPr>
          <w:p w:rsidR="003965A0" w:rsidRDefault="003965A0" w:rsidP="003965A0">
            <w:pPr>
              <w:jc w:val="center"/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4334" w:type="dxa"/>
          </w:tcPr>
          <w:p w:rsidR="003965A0" w:rsidRDefault="003965A0" w:rsidP="003965A0">
            <w:pPr>
              <w:jc w:val="center"/>
            </w:pPr>
            <w:r>
              <w:rPr>
                <w:rFonts w:hint="eastAsia"/>
              </w:rPr>
              <w:t>週ごとの到達目標</w:t>
            </w:r>
          </w:p>
        </w:tc>
      </w:tr>
      <w:tr w:rsidR="003965A0" w:rsidTr="003965A0">
        <w:trPr>
          <w:trHeight w:val="1117"/>
        </w:trPr>
        <w:tc>
          <w:tcPr>
            <w:tcW w:w="1083" w:type="dxa"/>
          </w:tcPr>
          <w:p w:rsidR="003965A0" w:rsidRPr="00C75F30" w:rsidRDefault="003965A0" w:rsidP="003965A0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１</w:t>
            </w:r>
          </w:p>
          <w:p w:rsidR="003965A0" w:rsidRDefault="003965A0" w:rsidP="003965A0">
            <w:pPr>
              <w:jc w:val="center"/>
            </w:pPr>
            <w:r>
              <w:rPr>
                <w:rFonts w:hint="eastAsia"/>
              </w:rPr>
              <w:t>09/19</w:t>
            </w:r>
          </w:p>
          <w:p w:rsidR="00A341F9" w:rsidRDefault="00A341F9" w:rsidP="003965A0">
            <w:pPr>
              <w:jc w:val="center"/>
            </w:pPr>
            <w:r w:rsidRPr="00C75F30">
              <w:rPr>
                <w:rFonts w:hint="eastAsia"/>
                <w:color w:val="FF0000"/>
              </w:rPr>
              <w:t>（金）</w:t>
            </w:r>
          </w:p>
        </w:tc>
        <w:tc>
          <w:tcPr>
            <w:tcW w:w="4412" w:type="dxa"/>
          </w:tcPr>
          <w:p w:rsidR="003965A0" w:rsidRDefault="00690E1B">
            <w:r>
              <w:rPr>
                <w:rFonts w:hint="eastAsia"/>
              </w:rPr>
              <w:t>講義の概要説明</w:t>
            </w:r>
          </w:p>
          <w:p w:rsidR="00690E1B" w:rsidRDefault="00690E1B">
            <w:r>
              <w:rPr>
                <w:rFonts w:hint="eastAsia"/>
              </w:rPr>
              <w:t>技術者の倫理的責任と行動する倫理</w:t>
            </w:r>
          </w:p>
          <w:p w:rsidR="00690E1B" w:rsidRPr="00690E1B" w:rsidRDefault="00690E1B">
            <w:r>
              <w:rPr>
                <w:rFonts w:hint="eastAsia"/>
              </w:rPr>
              <w:t>組織の倫理</w:t>
            </w:r>
          </w:p>
        </w:tc>
        <w:tc>
          <w:tcPr>
            <w:tcW w:w="4334" w:type="dxa"/>
          </w:tcPr>
          <w:p w:rsidR="00C9081B" w:rsidRPr="00C9081B" w:rsidRDefault="00C9081B">
            <w:pPr>
              <w:rPr>
                <w:sz w:val="18"/>
                <w:szCs w:val="18"/>
              </w:rPr>
            </w:pPr>
            <w:r w:rsidRPr="00C9081B">
              <w:rPr>
                <w:rFonts w:hint="eastAsia"/>
                <w:sz w:val="18"/>
                <w:szCs w:val="18"/>
              </w:rPr>
              <w:t>シラバスの説明。法とモラル，技術者倫理とは何か等について理解する。専門職業人</w:t>
            </w:r>
            <w:r>
              <w:rPr>
                <w:rFonts w:hint="eastAsia"/>
                <w:sz w:val="18"/>
                <w:szCs w:val="18"/>
              </w:rPr>
              <w:t>としての技術者の役割や技術者の責任について理解する。</w:t>
            </w:r>
          </w:p>
        </w:tc>
      </w:tr>
      <w:tr w:rsidR="003965A0" w:rsidTr="003965A0">
        <w:trPr>
          <w:trHeight w:val="1166"/>
        </w:trPr>
        <w:tc>
          <w:tcPr>
            <w:tcW w:w="1083" w:type="dxa"/>
          </w:tcPr>
          <w:p w:rsidR="00A341F9" w:rsidRPr="00C75F30" w:rsidRDefault="003965A0" w:rsidP="00A341F9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２</w:t>
            </w:r>
          </w:p>
          <w:p w:rsidR="00A341F9" w:rsidRDefault="00A341F9" w:rsidP="003965A0">
            <w:pPr>
              <w:jc w:val="center"/>
            </w:pPr>
            <w:r>
              <w:rPr>
                <w:rFonts w:hint="eastAsia"/>
              </w:rPr>
              <w:t>09/30</w:t>
            </w:r>
          </w:p>
        </w:tc>
        <w:tc>
          <w:tcPr>
            <w:tcW w:w="4412" w:type="dxa"/>
          </w:tcPr>
          <w:p w:rsidR="003965A0" w:rsidRDefault="00690E1B">
            <w:r>
              <w:rPr>
                <w:rFonts w:hint="eastAsia"/>
              </w:rPr>
              <w:t>なぜ技術者の倫理なのか</w:t>
            </w:r>
          </w:p>
          <w:p w:rsidR="00690E1B" w:rsidRPr="00690E1B" w:rsidRDefault="00690E1B">
            <w:r>
              <w:rPr>
                <w:rFonts w:hint="eastAsia"/>
              </w:rPr>
              <w:t>事故から安全文化の展開</w:t>
            </w:r>
          </w:p>
        </w:tc>
        <w:tc>
          <w:tcPr>
            <w:tcW w:w="4334" w:type="dxa"/>
          </w:tcPr>
          <w:p w:rsidR="003965A0" w:rsidRPr="00C9081B" w:rsidRDefault="00C908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公衆の安全，健康，および福利を最優先とする技術者倫理を理解し，事故から育った安全文化を理解する。</w:t>
            </w:r>
            <w:r w:rsidR="00860909">
              <w:rPr>
                <w:rFonts w:hint="eastAsia"/>
                <w:sz w:val="18"/>
                <w:szCs w:val="18"/>
              </w:rPr>
              <w:t>福島原子力事故の構造を考える。</w:t>
            </w:r>
          </w:p>
        </w:tc>
      </w:tr>
      <w:tr w:rsidR="003965A0" w:rsidTr="003965A0">
        <w:trPr>
          <w:trHeight w:val="1166"/>
        </w:trPr>
        <w:tc>
          <w:tcPr>
            <w:tcW w:w="1083" w:type="dxa"/>
          </w:tcPr>
          <w:p w:rsidR="00A341F9" w:rsidRPr="00C75F30" w:rsidRDefault="003965A0" w:rsidP="00A341F9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３</w:t>
            </w:r>
          </w:p>
          <w:p w:rsidR="00A341F9" w:rsidRDefault="00A341F9" w:rsidP="003965A0">
            <w:pPr>
              <w:jc w:val="center"/>
            </w:pPr>
            <w:r>
              <w:rPr>
                <w:rFonts w:hint="eastAsia"/>
              </w:rPr>
              <w:t>10/07</w:t>
            </w:r>
          </w:p>
        </w:tc>
        <w:tc>
          <w:tcPr>
            <w:tcW w:w="4412" w:type="dxa"/>
          </w:tcPr>
          <w:p w:rsidR="003965A0" w:rsidRDefault="00690E1B">
            <w:r>
              <w:rPr>
                <w:rFonts w:hint="eastAsia"/>
              </w:rPr>
              <w:t>安全確保の行動の枠組み</w:t>
            </w:r>
          </w:p>
          <w:p w:rsidR="00690E1B" w:rsidRDefault="00690E1B">
            <w:r>
              <w:rPr>
                <w:rFonts w:hint="eastAsia"/>
              </w:rPr>
              <w:t>安全文化</w:t>
            </w:r>
          </w:p>
          <w:p w:rsidR="00690E1B" w:rsidRPr="00690E1B" w:rsidRDefault="00C9081B">
            <w:r>
              <w:rPr>
                <w:rFonts w:hint="eastAsia"/>
              </w:rPr>
              <w:t>安全工学</w:t>
            </w:r>
          </w:p>
        </w:tc>
        <w:tc>
          <w:tcPr>
            <w:tcW w:w="4334" w:type="dxa"/>
          </w:tcPr>
          <w:p w:rsidR="003965A0" w:rsidRPr="00C9081B" w:rsidRDefault="005424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安全文化の枠組みやモデルから，安全文化の考え方を理解する。また，安全工学の考え方を理解し，公衆を災害から救う手立てを考える。</w:t>
            </w:r>
          </w:p>
        </w:tc>
      </w:tr>
      <w:tr w:rsidR="003965A0" w:rsidTr="003965A0">
        <w:trPr>
          <w:trHeight w:val="1117"/>
        </w:trPr>
        <w:tc>
          <w:tcPr>
            <w:tcW w:w="1083" w:type="dxa"/>
          </w:tcPr>
          <w:p w:rsidR="00A341F9" w:rsidRPr="00C75F30" w:rsidRDefault="003965A0" w:rsidP="00A341F9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４</w:t>
            </w:r>
          </w:p>
          <w:p w:rsidR="00A341F9" w:rsidRDefault="00A341F9" w:rsidP="003965A0">
            <w:pPr>
              <w:jc w:val="center"/>
            </w:pPr>
            <w:r>
              <w:rPr>
                <w:rFonts w:hint="eastAsia"/>
              </w:rPr>
              <w:t>10/14</w:t>
            </w:r>
          </w:p>
        </w:tc>
        <w:tc>
          <w:tcPr>
            <w:tcW w:w="4412" w:type="dxa"/>
          </w:tcPr>
          <w:p w:rsidR="003965A0" w:rsidRDefault="00690E1B">
            <w:r>
              <w:rPr>
                <w:rFonts w:hint="eastAsia"/>
              </w:rPr>
              <w:t>技術者の資格</w:t>
            </w:r>
          </w:p>
          <w:p w:rsidR="00690E1B" w:rsidRDefault="00690E1B">
            <w:r>
              <w:rPr>
                <w:rFonts w:hint="eastAsia"/>
              </w:rPr>
              <w:t>事故責任の法の仕組み</w:t>
            </w:r>
          </w:p>
        </w:tc>
        <w:tc>
          <w:tcPr>
            <w:tcW w:w="4334" w:type="dxa"/>
          </w:tcPr>
          <w:p w:rsidR="003965A0" w:rsidRPr="00C9081B" w:rsidRDefault="005424E4" w:rsidP="005424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技術者資格の仕組みや制度を理解する。また，</w:t>
            </w:r>
            <w:r w:rsidR="00961624">
              <w:rPr>
                <w:rFonts w:hint="eastAsia"/>
                <w:sz w:val="18"/>
                <w:szCs w:val="18"/>
              </w:rPr>
              <w:t>事故責任の法の仕組みについて</w:t>
            </w:r>
            <w:r>
              <w:rPr>
                <w:rFonts w:hint="eastAsia"/>
                <w:sz w:val="18"/>
                <w:szCs w:val="18"/>
              </w:rPr>
              <w:t>PL</w:t>
            </w:r>
            <w:r>
              <w:rPr>
                <w:rFonts w:hint="eastAsia"/>
                <w:sz w:val="18"/>
                <w:szCs w:val="18"/>
              </w:rPr>
              <w:t>法を中心に理解する。</w:t>
            </w:r>
            <w:r w:rsidR="00961624">
              <w:rPr>
                <w:rFonts w:hint="eastAsia"/>
                <w:sz w:val="18"/>
                <w:szCs w:val="18"/>
              </w:rPr>
              <w:t>費用便益分析について考える。</w:t>
            </w:r>
          </w:p>
        </w:tc>
      </w:tr>
      <w:tr w:rsidR="003965A0" w:rsidTr="003965A0">
        <w:trPr>
          <w:trHeight w:val="1166"/>
        </w:trPr>
        <w:tc>
          <w:tcPr>
            <w:tcW w:w="1083" w:type="dxa"/>
          </w:tcPr>
          <w:p w:rsidR="003965A0" w:rsidRPr="00C75F30" w:rsidRDefault="003965A0" w:rsidP="003965A0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５</w:t>
            </w:r>
          </w:p>
          <w:p w:rsidR="00A341F9" w:rsidRDefault="00A341F9" w:rsidP="003965A0">
            <w:pPr>
              <w:jc w:val="center"/>
            </w:pPr>
            <w:r>
              <w:rPr>
                <w:rFonts w:hint="eastAsia"/>
              </w:rPr>
              <w:t>10/21</w:t>
            </w:r>
          </w:p>
        </w:tc>
        <w:tc>
          <w:tcPr>
            <w:tcW w:w="4412" w:type="dxa"/>
          </w:tcPr>
          <w:p w:rsidR="003965A0" w:rsidRDefault="00C9081B">
            <w:r>
              <w:rPr>
                <w:rFonts w:hint="eastAsia"/>
              </w:rPr>
              <w:t>法的責任とモラル責任</w:t>
            </w:r>
          </w:p>
        </w:tc>
        <w:tc>
          <w:tcPr>
            <w:tcW w:w="4334" w:type="dxa"/>
          </w:tcPr>
          <w:p w:rsidR="003965A0" w:rsidRPr="00C9081B" w:rsidRDefault="005424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法的責任とモラル責任について理解し，法とモラルの境界域の責任について考える。</w:t>
            </w:r>
            <w:r w:rsidR="00860909">
              <w:rPr>
                <w:rFonts w:hint="eastAsia"/>
                <w:sz w:val="18"/>
                <w:szCs w:val="18"/>
              </w:rPr>
              <w:t>カネミ油症事件から被害者救済を考える。</w:t>
            </w:r>
          </w:p>
        </w:tc>
      </w:tr>
      <w:tr w:rsidR="003965A0" w:rsidTr="003965A0">
        <w:trPr>
          <w:trHeight w:val="1166"/>
        </w:trPr>
        <w:tc>
          <w:tcPr>
            <w:tcW w:w="1083" w:type="dxa"/>
          </w:tcPr>
          <w:p w:rsidR="003965A0" w:rsidRPr="00C75F30" w:rsidRDefault="003965A0" w:rsidP="003965A0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６</w:t>
            </w:r>
          </w:p>
          <w:p w:rsidR="00A341F9" w:rsidRDefault="00A341F9" w:rsidP="003965A0">
            <w:pPr>
              <w:jc w:val="center"/>
            </w:pPr>
            <w:r>
              <w:rPr>
                <w:rFonts w:hint="eastAsia"/>
              </w:rPr>
              <w:t>11/04</w:t>
            </w:r>
          </w:p>
        </w:tc>
        <w:tc>
          <w:tcPr>
            <w:tcW w:w="4412" w:type="dxa"/>
          </w:tcPr>
          <w:p w:rsidR="003965A0" w:rsidRDefault="00C9081B">
            <w:r>
              <w:rPr>
                <w:rFonts w:hint="eastAsia"/>
              </w:rPr>
              <w:t>コンプライアンスと規制行政</w:t>
            </w:r>
          </w:p>
        </w:tc>
        <w:tc>
          <w:tcPr>
            <w:tcW w:w="4334" w:type="dxa"/>
          </w:tcPr>
          <w:p w:rsidR="003965A0" w:rsidRPr="00C9081B" w:rsidRDefault="004446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コンプライアンスと規制行政について理解し，安全確保のための規制行政について考える。</w:t>
            </w:r>
            <w:r w:rsidR="00860909">
              <w:rPr>
                <w:rFonts w:hint="eastAsia"/>
                <w:sz w:val="18"/>
                <w:szCs w:val="18"/>
              </w:rPr>
              <w:t>福島原子力事故後の規制改革について考える。</w:t>
            </w:r>
          </w:p>
        </w:tc>
      </w:tr>
      <w:tr w:rsidR="003965A0" w:rsidTr="003965A0">
        <w:trPr>
          <w:trHeight w:val="1166"/>
        </w:trPr>
        <w:tc>
          <w:tcPr>
            <w:tcW w:w="1083" w:type="dxa"/>
          </w:tcPr>
          <w:p w:rsidR="003965A0" w:rsidRPr="00C75F30" w:rsidRDefault="003965A0" w:rsidP="003965A0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７</w:t>
            </w:r>
          </w:p>
          <w:p w:rsidR="00A341F9" w:rsidRDefault="00A341F9" w:rsidP="003965A0">
            <w:pPr>
              <w:jc w:val="center"/>
            </w:pPr>
            <w:r>
              <w:rPr>
                <w:rFonts w:hint="eastAsia"/>
              </w:rPr>
              <w:t>11/11</w:t>
            </w:r>
          </w:p>
        </w:tc>
        <w:tc>
          <w:tcPr>
            <w:tcW w:w="4412" w:type="dxa"/>
          </w:tcPr>
          <w:p w:rsidR="003965A0" w:rsidRDefault="00C9081B">
            <w:r>
              <w:rPr>
                <w:rFonts w:hint="eastAsia"/>
              </w:rPr>
              <w:t>説明責任</w:t>
            </w:r>
          </w:p>
        </w:tc>
        <w:tc>
          <w:tcPr>
            <w:tcW w:w="4334" w:type="dxa"/>
          </w:tcPr>
          <w:p w:rsidR="003965A0" w:rsidRPr="00C9081B" w:rsidRDefault="004446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説明責任と信頼関係の構築について理解し，原子力発電，発がん生物質の安全性，遺伝子組み換え食品等の事例からリスクコミュニケーションを考える。</w:t>
            </w:r>
          </w:p>
        </w:tc>
      </w:tr>
      <w:tr w:rsidR="003965A0" w:rsidTr="003965A0">
        <w:trPr>
          <w:trHeight w:val="1166"/>
        </w:trPr>
        <w:tc>
          <w:tcPr>
            <w:tcW w:w="1083" w:type="dxa"/>
          </w:tcPr>
          <w:p w:rsidR="003965A0" w:rsidRPr="00C75F30" w:rsidRDefault="003965A0" w:rsidP="003965A0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８</w:t>
            </w:r>
          </w:p>
          <w:p w:rsidR="00A341F9" w:rsidRDefault="00A341F9" w:rsidP="00C75F30">
            <w:pPr>
              <w:jc w:val="center"/>
            </w:pPr>
            <w:r>
              <w:rPr>
                <w:rFonts w:hint="eastAsia"/>
              </w:rPr>
              <w:t>11/</w:t>
            </w:r>
            <w:r w:rsidR="00C75F30">
              <w:rPr>
                <w:rFonts w:hint="eastAsia"/>
              </w:rPr>
              <w:t>25</w:t>
            </w:r>
          </w:p>
        </w:tc>
        <w:tc>
          <w:tcPr>
            <w:tcW w:w="4412" w:type="dxa"/>
          </w:tcPr>
          <w:p w:rsidR="003965A0" w:rsidRDefault="00860909">
            <w:r>
              <w:rPr>
                <w:rFonts w:hint="eastAsia"/>
              </w:rPr>
              <w:t>公益通報</w:t>
            </w:r>
            <w:r w:rsidR="00C9081B">
              <w:rPr>
                <w:rFonts w:hint="eastAsia"/>
              </w:rPr>
              <w:t>（内部告発）</w:t>
            </w:r>
          </w:p>
        </w:tc>
        <w:tc>
          <w:tcPr>
            <w:tcW w:w="4334" w:type="dxa"/>
          </w:tcPr>
          <w:p w:rsidR="003965A0" w:rsidRPr="00C9081B" w:rsidRDefault="00860909" w:rsidP="008609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公益通報（</w:t>
            </w:r>
            <w:r w:rsidR="0044466D">
              <w:rPr>
                <w:rFonts w:hint="eastAsia"/>
                <w:sz w:val="18"/>
                <w:szCs w:val="18"/>
              </w:rPr>
              <w:t>内部告発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44466D">
              <w:rPr>
                <w:rFonts w:hint="eastAsia"/>
                <w:sz w:val="18"/>
                <w:szCs w:val="18"/>
              </w:rPr>
              <w:t>の仕組みを理解し，技術者の内部告発と法による救済の方法を考える。</w:t>
            </w:r>
            <w:r w:rsidR="00B33B7E">
              <w:rPr>
                <w:rFonts w:hint="eastAsia"/>
                <w:sz w:val="18"/>
                <w:szCs w:val="18"/>
              </w:rPr>
              <w:t>教材のギルベイン・ゴールドで</w:t>
            </w:r>
            <w:r>
              <w:rPr>
                <w:rFonts w:hint="eastAsia"/>
                <w:sz w:val="18"/>
                <w:szCs w:val="18"/>
              </w:rPr>
              <w:t>内部通報について</w:t>
            </w:r>
            <w:r w:rsidR="00B33B7E">
              <w:rPr>
                <w:rFonts w:hint="eastAsia"/>
                <w:sz w:val="18"/>
                <w:szCs w:val="18"/>
              </w:rPr>
              <w:t>考える。</w:t>
            </w:r>
          </w:p>
        </w:tc>
      </w:tr>
      <w:tr w:rsidR="003965A0" w:rsidTr="003965A0">
        <w:trPr>
          <w:trHeight w:val="1166"/>
        </w:trPr>
        <w:tc>
          <w:tcPr>
            <w:tcW w:w="1083" w:type="dxa"/>
          </w:tcPr>
          <w:p w:rsidR="003965A0" w:rsidRPr="00C75F30" w:rsidRDefault="003965A0" w:rsidP="003965A0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９</w:t>
            </w:r>
          </w:p>
          <w:p w:rsidR="00A341F9" w:rsidRDefault="00A341F9" w:rsidP="00C75F30">
            <w:pPr>
              <w:jc w:val="center"/>
            </w:pPr>
            <w:r>
              <w:rPr>
                <w:rFonts w:hint="eastAsia"/>
              </w:rPr>
              <w:t>1</w:t>
            </w:r>
            <w:r w:rsidR="00C75F30">
              <w:rPr>
                <w:rFonts w:hint="eastAsia"/>
              </w:rPr>
              <w:t>2</w:t>
            </w:r>
            <w:r>
              <w:rPr>
                <w:rFonts w:hint="eastAsia"/>
              </w:rPr>
              <w:t>/</w:t>
            </w:r>
            <w:r w:rsidR="00C75F30">
              <w:rPr>
                <w:rFonts w:hint="eastAsia"/>
              </w:rPr>
              <w:t>09</w:t>
            </w:r>
          </w:p>
        </w:tc>
        <w:tc>
          <w:tcPr>
            <w:tcW w:w="4412" w:type="dxa"/>
          </w:tcPr>
          <w:p w:rsidR="003965A0" w:rsidRDefault="00C9081B">
            <w:r>
              <w:rPr>
                <w:rFonts w:hint="eastAsia"/>
              </w:rPr>
              <w:t>環境と技術者</w:t>
            </w:r>
          </w:p>
          <w:p w:rsidR="00C9081B" w:rsidRDefault="00C9081B">
            <w:r>
              <w:rPr>
                <w:rFonts w:hint="eastAsia"/>
              </w:rPr>
              <w:t>技術者の財産的権利</w:t>
            </w:r>
          </w:p>
          <w:p w:rsidR="00C9081B" w:rsidRPr="00C9081B" w:rsidRDefault="00C9081B">
            <w:r>
              <w:rPr>
                <w:rFonts w:hint="eastAsia"/>
              </w:rPr>
              <w:t>技術者の国際関係</w:t>
            </w:r>
          </w:p>
        </w:tc>
        <w:tc>
          <w:tcPr>
            <w:tcW w:w="4334" w:type="dxa"/>
          </w:tcPr>
          <w:p w:rsidR="003965A0" w:rsidRPr="00C9081B" w:rsidRDefault="004446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環境倫理への道程，持続可能性や世代間倫理について理解し，循環型社会の構築について考える。また，技術者の知的財産や</w:t>
            </w:r>
            <w:r w:rsidR="00961624">
              <w:rPr>
                <w:rFonts w:hint="eastAsia"/>
                <w:sz w:val="18"/>
                <w:szCs w:val="18"/>
              </w:rPr>
              <w:t>国際規格等について考える。</w:t>
            </w:r>
          </w:p>
        </w:tc>
      </w:tr>
      <w:tr w:rsidR="003965A0" w:rsidTr="003965A0">
        <w:trPr>
          <w:trHeight w:val="1166"/>
        </w:trPr>
        <w:tc>
          <w:tcPr>
            <w:tcW w:w="1083" w:type="dxa"/>
          </w:tcPr>
          <w:p w:rsidR="003965A0" w:rsidRPr="00C75F30" w:rsidRDefault="003965A0" w:rsidP="003965A0">
            <w:pPr>
              <w:jc w:val="center"/>
              <w:rPr>
                <w:b/>
              </w:rPr>
            </w:pPr>
            <w:r w:rsidRPr="00C75F30">
              <w:rPr>
                <w:rFonts w:hint="eastAsia"/>
                <w:b/>
              </w:rPr>
              <w:t>１０</w:t>
            </w:r>
          </w:p>
          <w:p w:rsidR="00A341F9" w:rsidRDefault="00A341F9" w:rsidP="00C75F30">
            <w:pPr>
              <w:jc w:val="center"/>
            </w:pPr>
            <w:r>
              <w:rPr>
                <w:rFonts w:hint="eastAsia"/>
              </w:rPr>
              <w:t>12/</w:t>
            </w:r>
            <w:r w:rsidR="00C75F30">
              <w:rPr>
                <w:rFonts w:hint="eastAsia"/>
              </w:rPr>
              <w:t>16</w:t>
            </w:r>
          </w:p>
        </w:tc>
        <w:tc>
          <w:tcPr>
            <w:tcW w:w="4412" w:type="dxa"/>
          </w:tcPr>
          <w:p w:rsidR="003965A0" w:rsidRDefault="00C9081B">
            <w:r>
              <w:rPr>
                <w:rFonts w:hint="eastAsia"/>
              </w:rPr>
              <w:t>発表</w:t>
            </w:r>
            <w:bookmarkStart w:id="0" w:name="_GoBack"/>
            <w:bookmarkEnd w:id="0"/>
          </w:p>
        </w:tc>
        <w:tc>
          <w:tcPr>
            <w:tcW w:w="4334" w:type="dxa"/>
          </w:tcPr>
          <w:p w:rsidR="003965A0" w:rsidRPr="00C9081B" w:rsidRDefault="009616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これまでに企業等へ送った手紙とその回答文について発表する。</w:t>
            </w:r>
          </w:p>
        </w:tc>
      </w:tr>
    </w:tbl>
    <w:p w:rsidR="003965A0" w:rsidRPr="003965A0" w:rsidRDefault="003965A0"/>
    <w:sectPr w:rsidR="003965A0" w:rsidRPr="003965A0" w:rsidSect="003965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48" w:rsidRDefault="006D7B48" w:rsidP="00860909">
      <w:r>
        <w:separator/>
      </w:r>
    </w:p>
  </w:endnote>
  <w:endnote w:type="continuationSeparator" w:id="0">
    <w:p w:rsidR="006D7B48" w:rsidRDefault="006D7B48" w:rsidP="0086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48" w:rsidRDefault="006D7B48" w:rsidP="00860909">
      <w:r>
        <w:separator/>
      </w:r>
    </w:p>
  </w:footnote>
  <w:footnote w:type="continuationSeparator" w:id="0">
    <w:p w:rsidR="006D7B48" w:rsidRDefault="006D7B48" w:rsidP="0086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A0"/>
    <w:rsid w:val="003965A0"/>
    <w:rsid w:val="0044466D"/>
    <w:rsid w:val="00461880"/>
    <w:rsid w:val="005424E4"/>
    <w:rsid w:val="00690E1B"/>
    <w:rsid w:val="006D7B48"/>
    <w:rsid w:val="0079503F"/>
    <w:rsid w:val="007E773E"/>
    <w:rsid w:val="00860909"/>
    <w:rsid w:val="00961624"/>
    <w:rsid w:val="00A341F9"/>
    <w:rsid w:val="00B33B7E"/>
    <w:rsid w:val="00C75F30"/>
    <w:rsid w:val="00C9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909"/>
  </w:style>
  <w:style w:type="paragraph" w:styleId="a6">
    <w:name w:val="footer"/>
    <w:basedOn w:val="a"/>
    <w:link w:val="a7"/>
    <w:uiPriority w:val="99"/>
    <w:unhideWhenUsed/>
    <w:rsid w:val="00860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0909"/>
  </w:style>
  <w:style w:type="paragraph" w:styleId="a6">
    <w:name w:val="footer"/>
    <w:basedOn w:val="a"/>
    <w:link w:val="a7"/>
    <w:uiPriority w:val="99"/>
    <w:unhideWhenUsed/>
    <w:rsid w:val="00860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FUKUDA</dc:creator>
  <cp:lastModifiedBy>Hideaki FUKUDA</cp:lastModifiedBy>
  <cp:revision>4</cp:revision>
  <dcterms:created xsi:type="dcterms:W3CDTF">2025-09-03T06:18:00Z</dcterms:created>
  <dcterms:modified xsi:type="dcterms:W3CDTF">2025-09-11T05:45:00Z</dcterms:modified>
</cp:coreProperties>
</file>